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budgetarbetet ska Tidaholms invånare prioriteras. SD vill se tydliga prioriteringar där lokala behov går före andra utgifter. Detta är grundläggande för vår politik i en liten kommun som Tidaholm.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policy för medborgarprioritering i budget</w:t>
      </w:r>
    </w:p>
    <w:p>
      <w:r>
        <w:rPr>
          <w:rFonts w:ascii="Arial" w:hAnsi="Arial"/>
          <w:sz w:val="24"/>
        </w:rPr>
        <w:t>att resurser till välfärd skyddas före andra satsningar</w:t>
      </w:r>
    </w:p>
    <w:p>
      <w:r>
        <w:rPr>
          <w:rFonts w:ascii="Arial" w:hAnsi="Arial"/>
          <w:sz w:val="24"/>
        </w:rPr>
        <w:t>att årlig granskning av prioriteringar rapporteras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