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minskad störande körning med A-traktorer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Vara kommun ligger över rikssnittet för trafikbrott inklusive alkohol i trafiken, och störande körning med A-traktorer rapporteras ofta via VEST. Detta skapar otrygghet särskilt för barn och äldre i tätorterna. Kommunens plan betonar behov av fysiska åtgärder och insatser mot motorburen ungdom. SD vill skydda ordningen och prioritera trygghet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relevanta nämnder att analysera problemområden och införa fysiska hinder mot buskörning</w:t>
      </w:r>
    </w:p>
    <w:p>
      <w:r>
        <w:rPr>
          <w:rFonts w:ascii="Arial" w:hAnsi="Arial"/>
          <w:sz w:val="24"/>
        </w:rPr>
        <w:t>att samverkan med polis för ökade kontroller och kunskapshöjande insatser i skolor förstärks</w:t>
      </w:r>
    </w:p>
    <w:p>
      <w:r>
        <w:rPr>
          <w:rFonts w:ascii="Arial" w:hAnsi="Arial"/>
          <w:sz w:val="24"/>
        </w:rPr>
        <w:t>att en utvärdering av effekterna redovisas inom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